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Клиническая фармакология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Клиническая фармакология | Записей: 1 | Кейс: 2 | Вопросов: 12</w:t>
      </w:r>
    </w:p>
    <w:p>
      <w:r>
        <w:br w:type="page"/>
      </w:r>
    </w:p>
    <w:p>
      <w:pPr>
        <w:pStyle w:val="Heading1"/>
      </w:pPr>
      <w:r>
        <w:t>Клиническая фармакология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Клиническая фармакология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клинический фармаколог вызван к пациентке Л, 31 года, которая проходит лечение туберкулёза мочеполовых органов в туберкулёзной больнице.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боль в поясничной области,</w:t>
      </w:r>
    </w:p>
    <w:p>
      <w:pPr>
        <w:spacing w:after="58"/>
      </w:pPr>
      <w:r>
        <w:rPr>
          <w:b w:val="0"/>
          <w:i w:val="0"/>
        </w:rPr>
        <w:t>* субфебрильную температуру,</w:t>
      </w:r>
    </w:p>
    <w:p>
      <w:pPr>
        <w:spacing w:after="58"/>
      </w:pPr>
      <w:r>
        <w:rPr>
          <w:b w:val="0"/>
          <w:i w:val="0"/>
        </w:rPr>
        <w:t>* частые позывы на мочеиспускание.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Поступила в стационар с подозрением на острый пиелонефрит. По результатам обследования, лабораторных и инструментальных данных установлен диагноз туберкулёз мочеполовых органов. Направлена в туберкулёзный стационар.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Рост и развитие без особенностей.</w:t>
      </w:r>
    </w:p>
    <w:p>
      <w:pPr>
        <w:spacing w:after="58"/>
      </w:pPr>
      <w:r>
        <w:rPr>
          <w:b w:val="0"/>
          <w:i w:val="0"/>
        </w:rPr>
        <w:t>* Перенесённые заболевания — ветряная оспа.</w:t>
      </w:r>
    </w:p>
    <w:p>
      <w:pPr>
        <w:spacing w:after="58"/>
      </w:pPr>
      <w:r>
        <w:rPr>
          <w:b w:val="0"/>
          <w:i w:val="0"/>
        </w:rPr>
        <w:t>* Операций не было.</w:t>
      </w:r>
    </w:p>
    <w:p>
      <w:pPr>
        <w:spacing w:after="58"/>
      </w:pPr>
      <w:r>
        <w:rPr>
          <w:b w:val="0"/>
          <w:i w:val="0"/>
        </w:rPr>
        <w:t>* Контакт с инфекционными больными отриц.</w:t>
      </w:r>
    </w:p>
    <w:p>
      <w:pPr>
        <w:spacing w:after="58"/>
      </w:pPr>
      <w:r>
        <w:rPr>
          <w:b w:val="0"/>
          <w:i w:val="0"/>
        </w:rPr>
        <w:t>* Аллергический анамнез – не отягощён.</w:t>
      </w:r>
    </w:p>
    <w:p>
      <w:pPr>
        <w:spacing w:after="58"/>
      </w:pPr>
      <w:r>
        <w:rPr>
          <w:b w:val="0"/>
          <w:i w:val="0"/>
        </w:rPr>
        <w:t>* Наследственность — не знает.</w:t>
      </w:r>
    </w:p>
    <w:p>
      <w:pPr>
        <w:spacing w:after="58"/>
      </w:pPr>
      <w:r>
        <w:rPr>
          <w:b w:val="0"/>
          <w:i w:val="0"/>
        </w:rPr>
        <w:t>* Питание нерегулярное, качественное.</w:t>
      </w:r>
    </w:p>
    <w:p>
      <w:pPr>
        <w:spacing w:after="58"/>
      </w:pPr>
      <w:r>
        <w:rPr>
          <w:b w:val="0"/>
          <w:i w:val="0"/>
        </w:rPr>
        <w:t>* Вредные привычки отриц.</w:t>
      </w:r>
    </w:p>
    <w:p>
      <w:pPr>
        <w:spacing w:after="58"/>
      </w:pPr>
      <w:r>
        <w:rPr>
          <w:b w:val="0"/>
          <w:i w:val="0"/>
        </w:rPr>
        <w:t>* Жилищно-бытовые условия удовлетворительные.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161 см, вес 55 кг. Состояние средней степени тяжести, сознание ясное. Кожа, слизистые физиологической окраски, удовлетворительной влажности. Периферические лимфатическое узлы не увеличены. Дыхание жёсткое. ЧДД=18/мин. Тоны сердца ясные, ритмичные, ЧСС 74/мин. АД 130/85 мм рт. ст. Живот безболезненный, доступен глубокой пальпации. Печень по краю рёберной дуги. Периферических отёков нет. Физиологические отправления без особенностей.</w:t>
      </w:r>
    </w:p>
    <w:p>
      <w:pPr>
        <w:pStyle w:val="Heading2"/>
      </w:pPr>
      <w:r>
        <w:t>1. Консультирование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Пациентке с сохранённой чувствительностью возбудителя, или без бактериовыделения рекомендовано назначить рифампицин в дозе  +__+ мг/кг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Рекомендуется назначать пациентам с УГТ с сохраненной чувствительностью возбудителя, или без бактериовыделения изониазид (в дозе 5-10 мг/кг), рифампицин  (в дозе 10 мг/кг).</w:t>
        <w:br/>
        <w:br/>
      </w:r>
      <w:hyperlink r:id="rId9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Пациентка была выписана, но через 7 месяцев поступила повторно с рецидивом туберкулёза мочеполовых органов. Рекомендовано назначить +__+ режим химиотерапии.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IV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V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III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III</w:t>
      </w:r>
    </w:p>
    <w:p>
      <w:pPr>
        <w:ind w:left="504"/>
      </w:pPr>
      <w:r>
        <w:rPr>
          <w:b w:val="0"/>
          <w:i/>
        </w:rPr>
        <w:t>Третий (III) режим химиотерапии назначают:</w:t>
        <w:br/>
        <w:br/>
        <w:t>* пациентам с рецидивом туберкулеза и другими случаями повторного лечения до получения результатов определения лекарственной чувствительности возбудителя, если во время предыдущего курса лечения чувствительность микобактерий туберкулеза к изониазиду и рифампицину была сохранена или не определялась.</w:t>
        <w:br/>
        <w:br/>
      </w:r>
      <w:hyperlink r:id="rId9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фазе интенсивной терапии III режима применяется препарат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канамицин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левофлоксацин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аминосалициловая кислота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пиразинамид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пиразинамид</w:t>
      </w:r>
    </w:p>
    <w:p>
      <w:pPr>
        <w:ind w:left="504"/>
      </w:pPr>
      <w:r>
        <w:rPr>
          <w:b w:val="0"/>
          <w:i/>
        </w:rPr>
        <w:t>Z – пиразинамид.</w:t>
        <w:br/>
        <w:br/>
      </w:r>
      <w:hyperlink r:id="rId12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органов дыхания у взрослых, 2018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Приложение Д. Режимы химиотерапии больных туберкулезом.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Режим дозирования пиразинамида составляет +__+ мг/кг/сутки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25</w:t>
      </w:r>
    </w:p>
    <w:p>
      <w:pPr>
        <w:ind w:left="504"/>
      </w:pPr>
      <w:r>
        <w:rPr>
          <w:b w:val="0"/>
          <w:i/>
        </w:rPr>
        <w:t>Рекомендуется назначать пациентам с УГТ с сохраненной чувствительностью возбудителя, или без бактериовыделения пиразинамид (в дозе 25 мг/кг).</w:t>
        <w:br/>
        <w:br/>
      </w:r>
      <w:hyperlink r:id="rId9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фазе продолжения терапии III режима применяется препарат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изониазид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меропенем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амоксициллин/клавуланат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моксифлоксацин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изониазид</w:t>
      </w:r>
    </w:p>
    <w:p>
      <w:pPr>
        <w:ind w:left="504"/>
      </w:pPr>
      <w:r>
        <w:rPr>
          <w:b w:val="0"/>
          <w:i/>
        </w:rPr>
        <w:t>H – изониазид.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мочеполовых органов. 2016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Приложение Д. Режимы химиотерапии больных туберкулезом.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Режим дозирования изониазида составляет +___+ мг/кг/сутки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15-20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30-50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5-10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5-10</w:t>
      </w:r>
    </w:p>
    <w:p>
      <w:pPr>
        <w:ind w:left="504"/>
      </w:pPr>
      <w:r>
        <w:rPr>
          <w:b w:val="0"/>
          <w:i/>
        </w:rPr>
        <w:t>Рекомендуется назначать пациентам с УГТ с сохраненной чувствительностью возбудителя, или без бактериовыделения изониазид (в дозе 5-10 мг/кг).</w:t>
        <w:br/>
        <w:br/>
      </w:r>
      <w:hyperlink r:id="rId9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Рекомендован +__+ режим химиотерапии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VI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</w:t>
      </w:r>
    </w:p>
    <w:p>
      <w:pPr>
        <w:ind w:left="504"/>
      </w:pPr>
      <w:r>
        <w:rPr>
          <w:b w:val="0"/>
          <w:i/>
        </w:rPr>
        <w:t>Второй (II) режим химиотерапии назначают пациентам с туберкулезом при установленной молекулярно-генетическими и (или) культуральными методами устойчивости возбудителя к изониазиду или к изониазиду в сочетании с другими противотуберкулезными препаратами, но чувствительностью к рифампицину.</w:t>
        <w:br/>
        <w:br/>
      </w:r>
      <w:hyperlink r:id="rId9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Во второй режим химиотерапии входит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цефалексин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рифампицин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амоксициллин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цефепим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рифампицин</w:t>
      </w:r>
    </w:p>
    <w:p>
      <w:pPr>
        <w:ind w:left="504"/>
      </w:pPr>
      <w:r>
        <w:rPr>
          <w:b w:val="0"/>
          <w:i/>
        </w:rPr>
        <w:t>Fq –фторхинолон.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мочеполовых органов. 2016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Фторхинолонами, рекомендованными при туберкулёзе мочеполовых путей,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пефлоксацин, ципрофлоксацин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левофлоксацин, офлоксацин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моксифлоксацин, спарфлоксацин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ципрофлоксаин, спарфлоксацин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левофлоксацин, офлоксацин</w:t>
      </w:r>
    </w:p>
    <w:p>
      <w:pPr>
        <w:ind w:left="504"/>
      </w:pPr>
      <w:r>
        <w:rPr>
          <w:b w:val="0"/>
          <w:i/>
        </w:rPr>
        <w:t>Рекомендуется пациентам с УГТ и поражением органов малого таза, при сопутствующем пиелонефрите назначать офлоксацин или левофлоксацин.</w:t>
        <w:br/>
        <w:br/>
      </w:r>
      <w:hyperlink r:id="rId9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Спарфлоксацин и моксифлоксацин не рекомендованы при туберкулёзе мочеполовых органов в связи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высокой нефротоксичностью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высокой ототоксичностью и нейротоксичностью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высокой частотой развития нежелательных реакций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низкой концентрацией в моче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низкой концентрацией в моче</w:t>
      </w:r>
    </w:p>
    <w:p>
      <w:pPr>
        <w:ind w:left="504"/>
      </w:pPr>
      <w:r>
        <w:rPr>
          <w:b w:val="0"/>
          <w:i/>
        </w:rPr>
        <w:t>Моксифлоксацин и спарфлоксацин не являются оптимальными фторхинолонами для лечения инфекционно-воспалительных заболеваний мочеполовой системы, так как имеют низкую концентрацию в моче.</w:t>
        <w:br/>
        <w:br/>
      </w:r>
      <w:hyperlink r:id="rId9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Режим дозирования левофлоксацина составляет +______+ мг/сутки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900-1200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1000-1500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500-750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500-750</w:t>
      </w:r>
    </w:p>
    <w:p>
      <w:pPr>
        <w:ind w:left="504"/>
      </w:pPr>
      <w:r>
        <w:rPr>
          <w:b w:val="0"/>
          <w:i/>
        </w:rPr>
        <w:t>Рекомендуется пациентам с УГТ и поражением органов малого таза, при сопутствующем пиелонефрите назначать офлоксацин или левофлоксацин (в дозе 500-750 мг).</w:t>
        <w:br/>
        <w:br/>
      </w:r>
      <w:hyperlink r:id="rId9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Широкой лекарственной устойчивостью у МБТ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одновременную резистентность к изониазиду, рифампицину, фторхинолону и аминогликозиду/полипептиду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одновременную устойчивость к изониазиду, рифампицину, этамбутолу, пиразинамиду, карбапенему и аминосалициловой кислоте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одновременную устойчивость к изониазиду и рифампицину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устойчивость ко всем известным противотуберкулёзным препаратам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одновременную резистентность к изониазиду, рифампицину, фторхинолону и аминогликозиду/полипептиду</w:t>
      </w:r>
    </w:p>
    <w:p>
      <w:pPr>
        <w:ind w:left="504"/>
      </w:pPr>
      <w:r>
        <w:rPr>
          <w:b w:val="0"/>
          <w:i/>
        </w:rPr>
        <w:t>Множественная лекарственная устойчивость (МЛУ) – устойчивость микобактерии туберкулеза одновременно к изониазиду и рифампицину независимо от наличия устойчивости к другим противотуберкулезным препаратам.</w:t>
        <w:br/>
        <w:br/>
      </w:r>
      <w:hyperlink r:id="rId17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355/" TargetMode="External"/><Relationship Id="rId10" Type="http://schemas.openxmlformats.org/officeDocument/2006/relationships/hyperlink" Target="https://library.mededtech.ru/rest/documents/cr_355/#list_item_7i3uo" TargetMode="External"/><Relationship Id="rId11" Type="http://schemas.openxmlformats.org/officeDocument/2006/relationships/hyperlink" Target="https://library.mededtech.ru/rest/documents/cr_355/#list_item_30mjt" TargetMode="External"/><Relationship Id="rId12" Type="http://schemas.openxmlformats.org/officeDocument/2006/relationships/hyperlink" Target="https://library.mededtech.ru/rest/documents/cr_943/" TargetMode="External"/><Relationship Id="rId13" Type="http://schemas.openxmlformats.org/officeDocument/2006/relationships/hyperlink" Target="https://library.mededtech.ru/rest/documents/cr_943/#pril3" TargetMode="External"/><Relationship Id="rId14" Type="http://schemas.openxmlformats.org/officeDocument/2006/relationships/hyperlink" Target="https://library.mededtech.ru/rest/documents/cr_355/#paragraph_i49p3" TargetMode="External"/><Relationship Id="rId15" Type="http://schemas.openxmlformats.org/officeDocument/2006/relationships/hyperlink" Target="https://library.mededtech.ru/rest/documents/cr_355/#list_item_hentn" TargetMode="External"/><Relationship Id="rId16" Type="http://schemas.openxmlformats.org/officeDocument/2006/relationships/hyperlink" Target="https://library.mededtech.ru/rest/documents/cr_355/#paragraph_60ac2" TargetMode="External"/><Relationship Id="rId17" Type="http://schemas.openxmlformats.org/officeDocument/2006/relationships/hyperlink" Target="https://library.mededtech.ru/rest/documents/KP16_2/" TargetMode="External"/><Relationship Id="rId18" Type="http://schemas.openxmlformats.org/officeDocument/2006/relationships/hyperlink" Target="https://library.mededtech.ru/rest/documents/KP16_2/#paragraph_mtd6h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